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163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3110"/>
        <w:gridCol w:w="760"/>
        <w:gridCol w:w="365"/>
        <w:gridCol w:w="468"/>
        <w:gridCol w:w="263"/>
        <w:gridCol w:w="1474"/>
        <w:gridCol w:w="722"/>
        <w:gridCol w:w="897"/>
        <w:gridCol w:w="896"/>
        <w:gridCol w:w="895"/>
        <w:gridCol w:w="733"/>
        <w:gridCol w:w="351"/>
      </w:tblGrid>
      <w:tr w:rsidR="00CA223D" w:rsidTr="00DA56FC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CA223D" w:rsidRDefault="00CA223D"/>
        </w:tc>
        <w:tc>
          <w:tcPr>
            <w:tcW w:w="3110" w:type="dxa"/>
            <w:shd w:val="clear" w:color="auto" w:fill="auto"/>
            <w:vAlign w:val="bottom"/>
          </w:tcPr>
          <w:p w:rsidR="00CA223D" w:rsidRDefault="00CA223D"/>
        </w:tc>
        <w:tc>
          <w:tcPr>
            <w:tcW w:w="760" w:type="dxa"/>
            <w:shd w:val="clear" w:color="auto" w:fill="auto"/>
            <w:vAlign w:val="bottom"/>
          </w:tcPr>
          <w:p w:rsidR="00CA223D" w:rsidRDefault="00CA223D"/>
        </w:tc>
        <w:tc>
          <w:tcPr>
            <w:tcW w:w="365" w:type="dxa"/>
            <w:shd w:val="clear" w:color="auto" w:fill="auto"/>
            <w:vAlign w:val="bottom"/>
          </w:tcPr>
          <w:p w:rsidR="00CA223D" w:rsidRDefault="00CA223D"/>
        </w:tc>
        <w:tc>
          <w:tcPr>
            <w:tcW w:w="468" w:type="dxa"/>
            <w:shd w:val="clear" w:color="auto" w:fill="auto"/>
            <w:vAlign w:val="bottom"/>
          </w:tcPr>
          <w:p w:rsidR="00CA223D" w:rsidRDefault="00CA223D"/>
        </w:tc>
        <w:tc>
          <w:tcPr>
            <w:tcW w:w="263" w:type="dxa"/>
            <w:shd w:val="clear" w:color="auto" w:fill="auto"/>
            <w:vAlign w:val="bottom"/>
          </w:tcPr>
          <w:p w:rsidR="00CA223D" w:rsidRDefault="00CA223D"/>
        </w:tc>
        <w:tc>
          <w:tcPr>
            <w:tcW w:w="1474" w:type="dxa"/>
            <w:shd w:val="clear" w:color="auto" w:fill="auto"/>
            <w:vAlign w:val="bottom"/>
          </w:tcPr>
          <w:p w:rsidR="00CA223D" w:rsidRDefault="00CA223D"/>
        </w:tc>
        <w:tc>
          <w:tcPr>
            <w:tcW w:w="722" w:type="dxa"/>
            <w:shd w:val="clear" w:color="auto" w:fill="auto"/>
            <w:vAlign w:val="bottom"/>
          </w:tcPr>
          <w:p w:rsidR="00CA223D" w:rsidRDefault="00CA223D"/>
        </w:tc>
        <w:tc>
          <w:tcPr>
            <w:tcW w:w="897" w:type="dxa"/>
            <w:shd w:val="clear" w:color="auto" w:fill="auto"/>
            <w:vAlign w:val="bottom"/>
          </w:tcPr>
          <w:p w:rsidR="00CA223D" w:rsidRDefault="00CA223D"/>
        </w:tc>
        <w:tc>
          <w:tcPr>
            <w:tcW w:w="896" w:type="dxa"/>
            <w:shd w:val="clear" w:color="auto" w:fill="auto"/>
            <w:vAlign w:val="bottom"/>
          </w:tcPr>
          <w:p w:rsidR="00CA223D" w:rsidRDefault="00CA223D"/>
        </w:tc>
        <w:tc>
          <w:tcPr>
            <w:tcW w:w="895" w:type="dxa"/>
            <w:shd w:val="clear" w:color="auto" w:fill="auto"/>
            <w:vAlign w:val="bottom"/>
          </w:tcPr>
          <w:p w:rsidR="00CA223D" w:rsidRDefault="00CA223D"/>
        </w:tc>
        <w:tc>
          <w:tcPr>
            <w:tcW w:w="733" w:type="dxa"/>
            <w:shd w:val="clear" w:color="auto" w:fill="auto"/>
            <w:vAlign w:val="bottom"/>
          </w:tcPr>
          <w:p w:rsidR="00CA223D" w:rsidRDefault="00CA223D"/>
        </w:tc>
      </w:tr>
      <w:tr w:rsidR="00CA223D" w:rsidTr="00DA56FC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CA223D" w:rsidRDefault="00CA223D"/>
        </w:tc>
        <w:tc>
          <w:tcPr>
            <w:tcW w:w="4235" w:type="dxa"/>
            <w:gridSpan w:val="3"/>
            <w:shd w:val="clear" w:color="auto" w:fill="auto"/>
            <w:vAlign w:val="bottom"/>
          </w:tcPr>
          <w:p w:rsidR="00CA223D" w:rsidRDefault="00CA223D"/>
        </w:tc>
        <w:tc>
          <w:tcPr>
            <w:tcW w:w="468" w:type="dxa"/>
            <w:shd w:val="clear" w:color="auto" w:fill="auto"/>
            <w:vAlign w:val="bottom"/>
          </w:tcPr>
          <w:p w:rsidR="00CA223D" w:rsidRDefault="00CA223D">
            <w:pPr>
              <w:jc w:val="right"/>
            </w:pPr>
          </w:p>
        </w:tc>
        <w:tc>
          <w:tcPr>
            <w:tcW w:w="1737" w:type="dxa"/>
            <w:gridSpan w:val="2"/>
            <w:vMerge w:val="restart"/>
            <w:shd w:val="clear" w:color="auto" w:fill="auto"/>
            <w:vAlign w:val="bottom"/>
          </w:tcPr>
          <w:p w:rsidR="00CA223D" w:rsidRDefault="00CA223D"/>
        </w:tc>
        <w:tc>
          <w:tcPr>
            <w:tcW w:w="4143" w:type="dxa"/>
            <w:gridSpan w:val="5"/>
            <w:shd w:val="clear" w:color="auto" w:fill="auto"/>
            <w:vAlign w:val="bottom"/>
          </w:tcPr>
          <w:p w:rsidR="00DA56FC" w:rsidRPr="00DA56FC" w:rsidRDefault="00DA56FC" w:rsidP="00DA56FC">
            <w:pPr>
              <w:jc w:val="right"/>
              <w:rPr>
                <w:sz w:val="13"/>
                <w:szCs w:val="13"/>
              </w:rPr>
            </w:pPr>
            <w:r w:rsidRPr="00DA56FC">
              <w:rPr>
                <w:sz w:val="13"/>
                <w:szCs w:val="13"/>
              </w:rPr>
              <w:t xml:space="preserve">Приложение № </w:t>
            </w:r>
            <w:r>
              <w:rPr>
                <w:sz w:val="13"/>
                <w:szCs w:val="13"/>
              </w:rPr>
              <w:t>8</w:t>
            </w:r>
          </w:p>
          <w:p w:rsidR="00DA56FC" w:rsidRPr="00DA56FC" w:rsidRDefault="00DA56FC" w:rsidP="00DA56FC">
            <w:pPr>
              <w:jc w:val="right"/>
              <w:rPr>
                <w:sz w:val="13"/>
                <w:szCs w:val="13"/>
              </w:rPr>
            </w:pPr>
            <w:r w:rsidRPr="00DA56FC">
              <w:rPr>
                <w:sz w:val="13"/>
                <w:szCs w:val="13"/>
              </w:rPr>
              <w:t>к Решению Совета Кондопожского городского поселения</w:t>
            </w:r>
          </w:p>
          <w:p w:rsidR="00DA56FC" w:rsidRPr="00DA56FC" w:rsidRDefault="00DA56FC" w:rsidP="00DA56FC">
            <w:pPr>
              <w:jc w:val="right"/>
              <w:rPr>
                <w:sz w:val="13"/>
                <w:szCs w:val="13"/>
              </w:rPr>
            </w:pPr>
            <w:r w:rsidRPr="00DA56FC">
              <w:rPr>
                <w:sz w:val="13"/>
                <w:szCs w:val="13"/>
              </w:rPr>
              <w:t>«О бюджете Кондопожского городского поселения на 2025 год и</w:t>
            </w:r>
          </w:p>
          <w:p w:rsidR="00DA56FC" w:rsidRPr="00DA56FC" w:rsidRDefault="00DA56FC" w:rsidP="00DA56FC">
            <w:pPr>
              <w:jc w:val="right"/>
              <w:rPr>
                <w:sz w:val="13"/>
                <w:szCs w:val="13"/>
              </w:rPr>
            </w:pPr>
            <w:r w:rsidRPr="00DA56FC">
              <w:rPr>
                <w:sz w:val="13"/>
                <w:szCs w:val="13"/>
              </w:rPr>
              <w:t>на плановый период 2026 и 2027 годов»</w:t>
            </w:r>
          </w:p>
          <w:p w:rsidR="00DA56FC" w:rsidRPr="00DA56FC" w:rsidRDefault="00DA56FC" w:rsidP="00DA56FC">
            <w:pPr>
              <w:jc w:val="right"/>
              <w:rPr>
                <w:sz w:val="13"/>
                <w:szCs w:val="13"/>
              </w:rPr>
            </w:pPr>
            <w:proofErr w:type="gramStart"/>
            <w:r w:rsidRPr="00DA56FC">
              <w:rPr>
                <w:sz w:val="13"/>
                <w:szCs w:val="13"/>
              </w:rPr>
              <w:t>(в редакции Решения Совета Кондопожского городского поселения</w:t>
            </w:r>
            <w:proofErr w:type="gramEnd"/>
          </w:p>
          <w:p w:rsidR="00DA56FC" w:rsidRPr="00DA56FC" w:rsidRDefault="00DA56FC" w:rsidP="00DA56FC">
            <w:pPr>
              <w:jc w:val="right"/>
              <w:rPr>
                <w:sz w:val="13"/>
                <w:szCs w:val="13"/>
              </w:rPr>
            </w:pPr>
            <w:r w:rsidRPr="00DA56FC">
              <w:rPr>
                <w:sz w:val="13"/>
                <w:szCs w:val="13"/>
              </w:rPr>
              <w:t>от __ сентябр</w:t>
            </w:r>
            <w:r>
              <w:rPr>
                <w:sz w:val="13"/>
                <w:szCs w:val="13"/>
              </w:rPr>
              <w:t>я</w:t>
            </w:r>
            <w:r w:rsidRPr="00DA56FC">
              <w:rPr>
                <w:sz w:val="13"/>
                <w:szCs w:val="13"/>
              </w:rPr>
              <w:t xml:space="preserve"> 2025 года № __</w:t>
            </w:r>
          </w:p>
          <w:p w:rsidR="00DA56FC" w:rsidRPr="00DA56FC" w:rsidRDefault="00DA56FC" w:rsidP="00DA56FC">
            <w:pPr>
              <w:jc w:val="right"/>
              <w:rPr>
                <w:sz w:val="13"/>
                <w:szCs w:val="13"/>
              </w:rPr>
            </w:pPr>
            <w:r w:rsidRPr="00DA56FC">
              <w:rPr>
                <w:sz w:val="13"/>
                <w:szCs w:val="13"/>
              </w:rPr>
              <w:t>«О внесении изменений в Решение Совета Кондопожского городского посел</w:t>
            </w:r>
            <w:bookmarkStart w:id="0" w:name="_GoBack"/>
            <w:bookmarkEnd w:id="0"/>
            <w:r w:rsidRPr="00DA56FC">
              <w:rPr>
                <w:sz w:val="13"/>
                <w:szCs w:val="13"/>
              </w:rPr>
              <w:t>ения</w:t>
            </w:r>
          </w:p>
          <w:p w:rsidR="00DA56FC" w:rsidRPr="00DA56FC" w:rsidRDefault="00DA56FC" w:rsidP="00DA56FC">
            <w:pPr>
              <w:jc w:val="right"/>
              <w:rPr>
                <w:sz w:val="13"/>
                <w:szCs w:val="13"/>
              </w:rPr>
            </w:pPr>
            <w:r w:rsidRPr="00DA56FC">
              <w:rPr>
                <w:sz w:val="13"/>
                <w:szCs w:val="13"/>
              </w:rPr>
              <w:t>от 12  декабря  2024 года №1</w:t>
            </w:r>
          </w:p>
          <w:p w:rsidR="00DA56FC" w:rsidRPr="00DA56FC" w:rsidRDefault="00DA56FC" w:rsidP="00DA56FC">
            <w:pPr>
              <w:jc w:val="right"/>
              <w:rPr>
                <w:sz w:val="13"/>
                <w:szCs w:val="13"/>
              </w:rPr>
            </w:pPr>
            <w:r w:rsidRPr="00DA56FC">
              <w:rPr>
                <w:sz w:val="13"/>
                <w:szCs w:val="13"/>
              </w:rPr>
              <w:t>«О бюджете Кондопожского городского поселения на 2025 год и</w:t>
            </w:r>
          </w:p>
          <w:p w:rsidR="00CA223D" w:rsidRDefault="00DA56FC" w:rsidP="00DA56FC">
            <w:pPr>
              <w:jc w:val="right"/>
            </w:pPr>
            <w:r w:rsidRPr="00DA56FC">
              <w:rPr>
                <w:sz w:val="13"/>
                <w:szCs w:val="13"/>
              </w:rPr>
              <w:t>на плановый период 2026 и 2027 годов»).</w:t>
            </w:r>
          </w:p>
        </w:tc>
      </w:tr>
      <w:tr w:rsidR="00CA223D" w:rsidTr="00DA56FC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CA223D" w:rsidRDefault="00CA223D"/>
        </w:tc>
        <w:tc>
          <w:tcPr>
            <w:tcW w:w="4235" w:type="dxa"/>
            <w:gridSpan w:val="3"/>
            <w:shd w:val="clear" w:color="auto" w:fill="auto"/>
          </w:tcPr>
          <w:p w:rsidR="00CA223D" w:rsidRDefault="00CA223D"/>
        </w:tc>
        <w:tc>
          <w:tcPr>
            <w:tcW w:w="468" w:type="dxa"/>
            <w:shd w:val="clear" w:color="auto" w:fill="auto"/>
            <w:vAlign w:val="bottom"/>
          </w:tcPr>
          <w:p w:rsidR="00CA223D" w:rsidRDefault="00CA223D">
            <w:pPr>
              <w:jc w:val="right"/>
            </w:pPr>
          </w:p>
        </w:tc>
        <w:tc>
          <w:tcPr>
            <w:tcW w:w="1737" w:type="dxa"/>
            <w:gridSpan w:val="2"/>
            <w:vMerge/>
            <w:shd w:val="clear" w:color="auto" w:fill="auto"/>
            <w:vAlign w:val="bottom"/>
          </w:tcPr>
          <w:p w:rsidR="00CA223D" w:rsidRDefault="00CA223D"/>
        </w:tc>
        <w:tc>
          <w:tcPr>
            <w:tcW w:w="722" w:type="dxa"/>
            <w:shd w:val="clear" w:color="auto" w:fill="auto"/>
            <w:vAlign w:val="bottom"/>
          </w:tcPr>
          <w:p w:rsidR="00CA223D" w:rsidRDefault="00CA223D"/>
        </w:tc>
        <w:tc>
          <w:tcPr>
            <w:tcW w:w="897" w:type="dxa"/>
            <w:shd w:val="clear" w:color="auto" w:fill="auto"/>
            <w:vAlign w:val="bottom"/>
          </w:tcPr>
          <w:p w:rsidR="00CA223D" w:rsidRDefault="00CA223D"/>
        </w:tc>
        <w:tc>
          <w:tcPr>
            <w:tcW w:w="896" w:type="dxa"/>
            <w:shd w:val="clear" w:color="auto" w:fill="auto"/>
            <w:vAlign w:val="bottom"/>
          </w:tcPr>
          <w:p w:rsidR="00CA223D" w:rsidRDefault="00CA223D"/>
        </w:tc>
        <w:tc>
          <w:tcPr>
            <w:tcW w:w="895" w:type="dxa"/>
            <w:shd w:val="clear" w:color="auto" w:fill="auto"/>
            <w:vAlign w:val="bottom"/>
          </w:tcPr>
          <w:p w:rsidR="00CA223D" w:rsidRDefault="00CA223D"/>
        </w:tc>
        <w:tc>
          <w:tcPr>
            <w:tcW w:w="733" w:type="dxa"/>
            <w:shd w:val="clear" w:color="auto" w:fill="auto"/>
            <w:vAlign w:val="bottom"/>
          </w:tcPr>
          <w:p w:rsidR="00CA223D" w:rsidRDefault="00CA223D"/>
        </w:tc>
      </w:tr>
      <w:tr w:rsidR="00CA223D" w:rsidTr="00DA56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" w:type="dxa"/>
            <w:shd w:val="clear" w:color="auto" w:fill="auto"/>
            <w:vAlign w:val="bottom"/>
          </w:tcPr>
          <w:p w:rsidR="00CA223D" w:rsidRDefault="00CA223D"/>
        </w:tc>
        <w:tc>
          <w:tcPr>
            <w:tcW w:w="10934" w:type="dxa"/>
            <w:gridSpan w:val="12"/>
            <w:vMerge w:val="restart"/>
            <w:shd w:val="clear" w:color="auto" w:fill="auto"/>
            <w:vAlign w:val="bottom"/>
          </w:tcPr>
          <w:p w:rsidR="00CA223D" w:rsidRDefault="00DA56FC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Распределение бюджетных ассигнований </w:t>
            </w:r>
            <w:r>
              <w:rPr>
                <w:b/>
                <w:sz w:val="17"/>
                <w:szCs w:val="17"/>
              </w:rPr>
              <w:t xml:space="preserve">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CA223D" w:rsidTr="00DA56F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" w:type="dxa"/>
            <w:shd w:val="clear" w:color="auto" w:fill="auto"/>
            <w:vAlign w:val="bottom"/>
          </w:tcPr>
          <w:p w:rsidR="00CA223D" w:rsidRDefault="00CA223D"/>
        </w:tc>
        <w:tc>
          <w:tcPr>
            <w:tcW w:w="10934" w:type="dxa"/>
            <w:gridSpan w:val="12"/>
            <w:vMerge/>
            <w:shd w:val="clear" w:color="auto" w:fill="auto"/>
            <w:vAlign w:val="bottom"/>
          </w:tcPr>
          <w:p w:rsidR="00CA223D" w:rsidRDefault="00CA223D"/>
        </w:tc>
      </w:tr>
      <w:tr w:rsidR="00CA223D" w:rsidTr="00DA56FC">
        <w:tblPrEx>
          <w:tblCellMar>
            <w:top w:w="0" w:type="dxa"/>
            <w:bottom w:w="0" w:type="dxa"/>
          </w:tblCellMar>
        </w:tblPrEx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CA223D" w:rsidRDefault="00CA223D"/>
        </w:tc>
        <w:tc>
          <w:tcPr>
            <w:tcW w:w="3110" w:type="dxa"/>
            <w:shd w:val="clear" w:color="auto" w:fill="auto"/>
            <w:vAlign w:val="bottom"/>
          </w:tcPr>
          <w:p w:rsidR="00CA223D" w:rsidRDefault="00CA223D"/>
        </w:tc>
        <w:tc>
          <w:tcPr>
            <w:tcW w:w="760" w:type="dxa"/>
            <w:shd w:val="clear" w:color="auto" w:fill="auto"/>
            <w:vAlign w:val="bottom"/>
          </w:tcPr>
          <w:p w:rsidR="00CA223D" w:rsidRDefault="00CA223D"/>
        </w:tc>
        <w:tc>
          <w:tcPr>
            <w:tcW w:w="365" w:type="dxa"/>
            <w:shd w:val="clear" w:color="auto" w:fill="auto"/>
            <w:vAlign w:val="bottom"/>
          </w:tcPr>
          <w:p w:rsidR="00CA223D" w:rsidRDefault="00CA223D"/>
        </w:tc>
        <w:tc>
          <w:tcPr>
            <w:tcW w:w="468" w:type="dxa"/>
            <w:shd w:val="clear" w:color="auto" w:fill="auto"/>
            <w:vAlign w:val="bottom"/>
          </w:tcPr>
          <w:p w:rsidR="00CA223D" w:rsidRDefault="00CA223D"/>
        </w:tc>
        <w:tc>
          <w:tcPr>
            <w:tcW w:w="263" w:type="dxa"/>
            <w:shd w:val="clear" w:color="auto" w:fill="auto"/>
            <w:vAlign w:val="bottom"/>
          </w:tcPr>
          <w:p w:rsidR="00CA223D" w:rsidRDefault="00CA223D"/>
        </w:tc>
        <w:tc>
          <w:tcPr>
            <w:tcW w:w="1474" w:type="dxa"/>
            <w:shd w:val="clear" w:color="auto" w:fill="auto"/>
            <w:vAlign w:val="bottom"/>
          </w:tcPr>
          <w:p w:rsidR="00CA223D" w:rsidRDefault="00CA223D"/>
        </w:tc>
        <w:tc>
          <w:tcPr>
            <w:tcW w:w="722" w:type="dxa"/>
            <w:shd w:val="clear" w:color="auto" w:fill="auto"/>
            <w:vAlign w:val="bottom"/>
          </w:tcPr>
          <w:p w:rsidR="00CA223D" w:rsidRDefault="00CA223D"/>
        </w:tc>
        <w:tc>
          <w:tcPr>
            <w:tcW w:w="897" w:type="dxa"/>
            <w:shd w:val="clear" w:color="auto" w:fill="auto"/>
            <w:vAlign w:val="bottom"/>
          </w:tcPr>
          <w:p w:rsidR="00CA223D" w:rsidRDefault="00CA223D"/>
        </w:tc>
        <w:tc>
          <w:tcPr>
            <w:tcW w:w="896" w:type="dxa"/>
            <w:shd w:val="clear" w:color="auto" w:fill="auto"/>
            <w:vAlign w:val="bottom"/>
          </w:tcPr>
          <w:p w:rsidR="00CA223D" w:rsidRDefault="00CA223D"/>
        </w:tc>
        <w:tc>
          <w:tcPr>
            <w:tcW w:w="895" w:type="dxa"/>
            <w:shd w:val="clear" w:color="auto" w:fill="auto"/>
            <w:vAlign w:val="bottom"/>
          </w:tcPr>
          <w:p w:rsidR="00CA223D" w:rsidRDefault="00CA223D"/>
        </w:tc>
        <w:tc>
          <w:tcPr>
            <w:tcW w:w="733" w:type="dxa"/>
            <w:shd w:val="clear" w:color="auto" w:fill="auto"/>
            <w:vAlign w:val="bottom"/>
          </w:tcPr>
          <w:p w:rsidR="00CA223D" w:rsidRDefault="00CA223D"/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CA223D">
        <w:tblPrEx>
          <w:tblCellMar>
            <w:top w:w="0" w:type="dxa"/>
            <w:bottom w:w="0" w:type="dxa"/>
          </w:tblCellMar>
        </w:tblPrEx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A223D" w:rsidRDefault="00DA56FC">
            <w:pPr>
              <w:wordWrap w:val="0"/>
              <w:jc w:val="center"/>
            </w:pPr>
            <w:r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A223D" w:rsidRDefault="00DA56FC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Целевой </w:t>
            </w:r>
            <w:r>
              <w:rPr>
                <w:b/>
                <w:sz w:val="17"/>
                <w:szCs w:val="17"/>
              </w:rPr>
              <w:t>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A223D" w:rsidRDefault="00DA56FC">
            <w:pPr>
              <w:jc w:val="center"/>
            </w:pPr>
            <w:r>
              <w:rPr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A223D" w:rsidRDefault="00DA56FC">
            <w:pPr>
              <w:jc w:val="center"/>
            </w:pPr>
            <w:r>
              <w:rPr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>
              <w:rPr>
                <w:b/>
                <w:sz w:val="17"/>
                <w:szCs w:val="17"/>
              </w:rPr>
              <w:t>руб</w:t>
            </w:r>
            <w:proofErr w:type="spellEnd"/>
            <w:r>
              <w:rPr>
                <w:b/>
                <w:sz w:val="17"/>
                <w:szCs w:val="17"/>
              </w:rPr>
              <w:t>)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CA223D"/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CA223D"/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CA223D"/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CA223D"/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CA223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jc w:val="center"/>
            </w:pPr>
            <w:r>
              <w:rPr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center"/>
            </w:pPr>
            <w:r>
              <w:rPr>
                <w:szCs w:val="15"/>
              </w:rPr>
              <w:t>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center"/>
            </w:pPr>
            <w:r>
              <w:rPr>
                <w:szCs w:val="15"/>
              </w:rPr>
              <w:t>5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center"/>
            </w:pPr>
            <w:r>
              <w:rPr>
                <w:szCs w:val="15"/>
              </w:rPr>
              <w:t>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24 066 420,27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</w:t>
            </w:r>
            <w:r>
              <w:rPr>
                <w:b/>
                <w:sz w:val="19"/>
                <w:szCs w:val="19"/>
              </w:rPr>
              <w:t>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24 066 420,27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24 066 420,27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szCs w:val="15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13 758 349,91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13 758 349,91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Закупка товаров, </w:t>
            </w:r>
            <w:r>
              <w:rPr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9 697 399,51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9 697 399,51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610 670,85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600 670,85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17 803 962,63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Комплекс </w:t>
            </w:r>
            <w:r>
              <w:rPr>
                <w:b/>
                <w:sz w:val="19"/>
                <w:szCs w:val="19"/>
              </w:rPr>
              <w:t xml:space="preserve">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13 189 730,92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</w:t>
            </w:r>
            <w:r>
              <w:rPr>
                <w:b/>
                <w:sz w:val="19"/>
                <w:szCs w:val="19"/>
              </w:rPr>
              <w:t>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13 189 730,92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Cs w:val="15"/>
              </w:rPr>
              <w:t>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7 606 884,73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7 606 884,73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4 684 850,19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закупки товаров, </w:t>
            </w:r>
            <w:r>
              <w:rPr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4 684 850,19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Комплекс процессных мероприятий </w:t>
            </w:r>
            <w:r>
              <w:rPr>
                <w:b/>
                <w:sz w:val="19"/>
                <w:szCs w:val="19"/>
              </w:rPr>
              <w:t>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02К0200000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450 265,65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Мероприятия, направленные на сохранение, использование и п</w:t>
            </w:r>
            <w:r>
              <w:rPr>
                <w:b/>
                <w:sz w:val="19"/>
                <w:szCs w:val="19"/>
              </w:rPr>
              <w:t>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450 265,65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450 265,65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450 265,65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Комплекс процессных мероприятий «Реализация мер государственной поддержки, направленных на развитие творческого</w:t>
            </w:r>
            <w:r>
              <w:rPr>
                <w:b/>
                <w:sz w:val="19"/>
                <w:szCs w:val="19"/>
              </w:rPr>
              <w:t xml:space="preserve"> и кадрового потенциала сферы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02К0300000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4 163 966,06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3 331 172,85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szCs w:val="15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3 331 172,85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3 331 172,85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Мероприятия, </w:t>
            </w:r>
            <w:r>
              <w:rPr>
                <w:b/>
                <w:sz w:val="19"/>
                <w:szCs w:val="19"/>
              </w:rPr>
              <w:t xml:space="preserve">направленные на частичную компенсацию расходов на повышение </w:t>
            </w:r>
            <w:proofErr w:type="gramStart"/>
            <w:r>
              <w:rPr>
                <w:b/>
                <w:sz w:val="19"/>
                <w:szCs w:val="19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832 793,21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</w:t>
            </w:r>
            <w:r>
              <w:rPr>
                <w:szCs w:val="15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832 793,21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832 793,21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Муниципальная программа «Развитие системы защиты населения и территории </w:t>
            </w:r>
            <w:r>
              <w:rPr>
                <w:b/>
                <w:sz w:val="19"/>
                <w:szCs w:val="19"/>
              </w:rPr>
              <w:t>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1 018 184,40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853 313,40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Реализация основных мероприятий по пожарной</w:t>
            </w:r>
            <w:r>
              <w:rPr>
                <w:b/>
                <w:sz w:val="19"/>
                <w:szCs w:val="19"/>
              </w:rPr>
              <w:t xml:space="preserve">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853 313,40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853 313,40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закупки товаров, работ и услуг для обеспечения </w:t>
            </w:r>
            <w:r>
              <w:rPr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853 313,40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164 871,00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Мероприятия, направленные на участие в профилактике терроризма, а также в минимизации и (или) ликвидации </w:t>
            </w:r>
            <w:r>
              <w:rPr>
                <w:b/>
                <w:sz w:val="19"/>
                <w:szCs w:val="19"/>
              </w:rPr>
              <w:t>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164 871,00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164 871,00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закупки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164 871,00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372 280 916,00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Осуществление полномочий по осуществлению внешнего муниципального контроля Кондопожского городского </w:t>
            </w:r>
            <w:r>
              <w:rPr>
                <w:b/>
                <w:sz w:val="19"/>
                <w:szCs w:val="19"/>
              </w:rPr>
              <w:t>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790 000,00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Межбюджетные трансферты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790 000,00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межбюджетные трансферты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790 000,00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Осуществление государственных полномочий по созданию и обеспечению деятельности административных комиссий и </w:t>
            </w:r>
            <w:r>
              <w:rPr>
                <w:b/>
                <w:sz w:val="19"/>
                <w:szCs w:val="19"/>
              </w:rPr>
              <w:t>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</w:t>
            </w:r>
            <w:r>
              <w:rPr>
                <w:szCs w:val="15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Реализация мероприятий, направленных на поддержку развития территориального общественного самоуправления на территории Кондопожского городского по</w:t>
            </w:r>
            <w:r>
              <w:rPr>
                <w:b/>
                <w:sz w:val="19"/>
                <w:szCs w:val="19"/>
              </w:rPr>
              <w:t>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5500044070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192 000,00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5500044070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192 000,00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5500044070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192 000,00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4 961 759,59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80 600,00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закупки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80 600,00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4 881 159,59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4 881 159,59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Мероприятия, направленные на выполнение функций, связанных с </w:t>
            </w:r>
            <w:r>
              <w:rPr>
                <w:b/>
                <w:sz w:val="19"/>
                <w:szCs w:val="19"/>
              </w:rPr>
              <w:t>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16 128 592,29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2 440 662,29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закупки </w:t>
            </w:r>
            <w:r>
              <w:rPr>
                <w:szCs w:val="15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2 440 662,29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13 687 930,00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449 875,00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Уплата налогов, сборов и иных </w:t>
            </w:r>
            <w:r>
              <w:rPr>
                <w:szCs w:val="15"/>
              </w:rPr>
              <w:t>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1 388 055,00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11 850 000,00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1 529 841,06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1 529 841,06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1 529 841,06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1 161 374,99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1 161 374,99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1 161 374,99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Резервный фонд </w:t>
            </w:r>
            <w:r>
              <w:rPr>
                <w:b/>
                <w:sz w:val="19"/>
                <w:szCs w:val="19"/>
              </w:rPr>
              <w:t>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47 191 827,38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Закупка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47 191 827,38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47 191 827,38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Мероприятия, направленные на создание условий для предоставления транспортных услуг </w:t>
            </w:r>
            <w:r>
              <w:rPr>
                <w:b/>
                <w:sz w:val="19"/>
                <w:szCs w:val="19"/>
              </w:rPr>
              <w:t>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3 032 837,00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3 032 837,00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закупки товаров, работ и услуг для обеспечения </w:t>
            </w:r>
            <w:r>
              <w:rPr>
                <w:szCs w:val="15"/>
              </w:rPr>
              <w:t>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3 032 837,00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953 906,66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953 906,66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</w:t>
            </w:r>
            <w:r>
              <w:rPr>
                <w:szCs w:val="15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953 906,66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3 649 451,78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3 539 621,95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3 539 621,95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бюджетные </w:t>
            </w:r>
            <w:r>
              <w:rPr>
                <w:szCs w:val="15"/>
              </w:rPr>
              <w:t>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109 829,83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106 255,73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3 574,10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Мероприятия в области коммунального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1 147 219,98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Закупка товаров, </w:t>
            </w:r>
            <w:r>
              <w:rPr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1 137 219,98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1 137 219,98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18 022 450,46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18 022 450,46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закупки товаров, </w:t>
            </w:r>
            <w:r>
              <w:rPr>
                <w:szCs w:val="15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18 022 450,46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Озеленение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2 505 106,40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2 505 106,40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2 505 106,40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5 504 630,99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Закупка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4 917 058,83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4 917 058,83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587 572,16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587 572,16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12 567 266,40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12 567 266,40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закупки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12 567 266,40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6 255 942,51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Закупка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6 224 636,02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6 224 636,02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31 306,49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28 590,42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2 716,07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Реализация мероприятий по социально-экономическому развитию территорий в сфере благоустройства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5500070519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3 629 878,62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Закупка </w:t>
            </w:r>
            <w:r>
              <w:rPr>
                <w:szCs w:val="15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5500070519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3 629 878,62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5500070519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3 629 878,62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Мероприятия, направленные на </w:t>
            </w:r>
            <w:r>
              <w:rPr>
                <w:b/>
                <w:sz w:val="19"/>
                <w:szCs w:val="19"/>
              </w:rPr>
              <w:t>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закупки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Реализация мероприятий по социально-экономическому развитию территорий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2 674 500,00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Закупка товаров, работ и услуг </w:t>
            </w:r>
            <w:r>
              <w:rPr>
                <w:szCs w:val="15"/>
              </w:rPr>
              <w:t>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2 674 500,00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2 674 500,00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Доплаты к трудовой пенсии лицам, замещавшим выборные </w:t>
            </w:r>
            <w:r>
              <w:rPr>
                <w:b/>
                <w:sz w:val="19"/>
                <w:szCs w:val="19"/>
              </w:rPr>
              <w:t>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1 180 244,64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Публичные нормативные </w:t>
            </w:r>
            <w:r>
              <w:rPr>
                <w:szCs w:val="15"/>
              </w:rPr>
              <w:t>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7 765 133,75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7 765 133,75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7 765 133,75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55НИ200000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185 600 000,00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Обеспечение мероприятий по переселению граждан</w:t>
            </w:r>
            <w:r>
              <w:rPr>
                <w:b/>
                <w:sz w:val="19"/>
                <w:szCs w:val="19"/>
              </w:rPr>
              <w:t xml:space="preserve"> из аварийного жилищного фонда (за счет средств ППК ФРТ)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100 420 040,00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178 378 760,00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Бюджетные</w:t>
            </w:r>
            <w:r>
              <w:rPr>
                <w:szCs w:val="15"/>
              </w:rPr>
              <w:t xml:space="preserve">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178 378 760,00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-77 958 720,00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-77 958 720,00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Обеспечение мероприятий по переселению граждан из аварийного жилищного фонда на </w:t>
            </w:r>
            <w:r>
              <w:rPr>
                <w:b/>
                <w:sz w:val="19"/>
                <w:szCs w:val="19"/>
              </w:rPr>
              <w:t>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85 179 960,00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156 265 072,20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156 265 072,20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Иные бюджетные </w:t>
            </w:r>
            <w:r>
              <w:rPr>
                <w:szCs w:val="15"/>
              </w:rPr>
              <w:t>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-71 085 112,20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-71 085 112,20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жизни» </w:t>
            </w:r>
            <w:r>
              <w:rPr>
                <w:b/>
                <w:sz w:val="19"/>
                <w:szCs w:val="19"/>
              </w:rPr>
              <w:t>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4 834 951,50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4 834 951,50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Закупка товаров, работ и услуг для обеспечения государственных </w:t>
            </w:r>
            <w:r>
              <w:rPr>
                <w:szCs w:val="15"/>
              </w:rPr>
              <w:t>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3 373 012,63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3 373 012,63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1 461 938,87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 xml:space="preserve">Субсидии юридическим лицам </w:t>
            </w:r>
            <w:r>
              <w:rPr>
                <w:szCs w:val="15"/>
              </w:rPr>
              <w:t>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810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1 461 938,87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 xml:space="preserve">Региональный проект «Региональная и местная дорожная сеть» в рамках реализации национального проекта </w:t>
            </w:r>
            <w:r>
              <w:rPr>
                <w:b/>
                <w:sz w:val="19"/>
                <w:szCs w:val="19"/>
              </w:rPr>
              <w:t>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55НИ800000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40 600 000,00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b/>
                <w:sz w:val="19"/>
                <w:szCs w:val="19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40 600 000,00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Закупка товаров, работ и услуг для обеспечения</w:t>
            </w:r>
            <w:r>
              <w:rPr>
                <w:szCs w:val="15"/>
              </w:rPr>
              <w:t xml:space="preserve">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40 600 000,00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A223D" w:rsidRDefault="00DA56FC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wordWrap w:val="0"/>
              <w:jc w:val="right"/>
            </w:pPr>
            <w:r>
              <w:rPr>
                <w:szCs w:val="15"/>
              </w:rPr>
              <w:t>40 600 000,00</w:t>
            </w:r>
          </w:p>
        </w:tc>
      </w:tr>
      <w:tr w:rsidR="00CA223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CA223D" w:rsidRDefault="00CA223D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jc w:val="right"/>
            </w:pPr>
            <w:r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A223D" w:rsidRDefault="00DA56FC">
            <w:pPr>
              <w:jc w:val="right"/>
            </w:pPr>
            <w:r>
              <w:rPr>
                <w:b/>
                <w:sz w:val="23"/>
                <w:szCs w:val="23"/>
              </w:rPr>
              <w:t>415 169 483,30</w:t>
            </w:r>
          </w:p>
        </w:tc>
      </w:tr>
    </w:tbl>
    <w:p w:rsidR="00000000" w:rsidRDefault="00DA56FC"/>
    <w:sectPr w:rsidR="00000000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A56FC">
      <w:pPr>
        <w:spacing w:after="0" w:line="240" w:lineRule="auto"/>
      </w:pPr>
      <w:r>
        <w:separator/>
      </w:r>
    </w:p>
  </w:endnote>
  <w:endnote w:type="continuationSeparator" w:id="0">
    <w:p w:rsidR="00000000" w:rsidRDefault="00DA5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A56FC">
      <w:pPr>
        <w:spacing w:after="0" w:line="240" w:lineRule="auto"/>
      </w:pPr>
      <w:r>
        <w:separator/>
      </w:r>
    </w:p>
  </w:footnote>
  <w:footnote w:type="continuationSeparator" w:id="0">
    <w:p w:rsidR="00000000" w:rsidRDefault="00DA5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669416"/>
      <w:docPartObj>
        <w:docPartGallery w:val="Page Numbers (Top of Page)"/>
      </w:docPartObj>
    </w:sdtPr>
    <w:sdtEndPr/>
    <w:sdtContent>
      <w:p w:rsidR="00CA223D" w:rsidRDefault="00DA56FC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>
          <w:rPr>
            <w:rFonts w:ascii="Arial" w:hAnsi="Arial"/>
            <w:noProof/>
            <w:sz w:val="15"/>
          </w:rPr>
          <w:t>6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CA223D" w:rsidRDefault="00CA223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648866"/>
      <w:docPartObj>
        <w:docPartGallery w:val="Page Numbers (Top of Page)"/>
      </w:docPartObj>
    </w:sdtPr>
    <w:sdtEndPr/>
    <w:sdtContent>
      <w:p w:rsidR="00CA223D" w:rsidRDefault="00DA56FC"/>
    </w:sdtContent>
  </w:sdt>
  <w:p w:rsidR="00CA223D" w:rsidRDefault="00CA223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223D"/>
    <w:rsid w:val="00CA223D"/>
    <w:rsid w:val="00DA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2604</Words>
  <Characters>14848</Characters>
  <Application>Microsoft Office Word</Application>
  <DocSecurity>0</DocSecurity>
  <Lines>123</Lines>
  <Paragraphs>34</Paragraphs>
  <ScaleCrop>false</ScaleCrop>
  <Company/>
  <LinksUpToDate>false</LinksUpToDate>
  <CharactersWithSpaces>17418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Павловская Надежда Геннадьевна</cp:lastModifiedBy>
  <cp:revision>2</cp:revision>
  <dcterms:created xsi:type="dcterms:W3CDTF">2025-09-12T09:40:00Z</dcterms:created>
  <dcterms:modified xsi:type="dcterms:W3CDTF">2025-09-12T09:41:00Z</dcterms:modified>
</cp:coreProperties>
</file>